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DC6" w:rsidRPr="00124DF1" w:rsidRDefault="00F83301" w:rsidP="00124DF1">
      <w:pPr>
        <w:jc w:val="center"/>
        <w:rPr>
          <w:rFonts w:ascii="Tahoma" w:hAnsi="Tahoma" w:cs="Tahoma"/>
          <w:b/>
        </w:rPr>
      </w:pPr>
      <w:r w:rsidRPr="00124DF1">
        <w:rPr>
          <w:rFonts w:ascii="Tahoma" w:hAnsi="Tahoma" w:cs="Tahoma"/>
          <w:b/>
        </w:rPr>
        <w:t>AUTORIDAD PARA DETENER UN TRABAJO</w:t>
      </w:r>
    </w:p>
    <w:p w:rsidR="00F83301" w:rsidRDefault="00F83301">
      <w:pPr>
        <w:rPr>
          <w:rFonts w:ascii="Tahoma" w:hAnsi="Tahoma" w:cs="Tahoma"/>
        </w:rPr>
      </w:pPr>
      <w:r>
        <w:rPr>
          <w:rFonts w:ascii="Tahoma" w:hAnsi="Tahoma" w:cs="Tahoma"/>
        </w:rPr>
        <w:t>El objetivo de esta política, es otorgar poder a toda persona para detener el trabajo cuando se observe una condición o un acto inseguro que podría afectar la seguridad  del personal, del ambiente o de las instalaciones.</w:t>
      </w:r>
    </w:p>
    <w:p w:rsidR="00F83301" w:rsidRDefault="00F83301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GREEN OIL SERVICES SA </w:t>
      </w:r>
      <w:r w:rsidR="006B2BBB">
        <w:rPr>
          <w:rFonts w:ascii="Tahoma" w:hAnsi="Tahoma" w:cs="Tahoma"/>
        </w:rPr>
        <w:t>está</w:t>
      </w:r>
      <w:r>
        <w:rPr>
          <w:rFonts w:ascii="Tahoma" w:hAnsi="Tahoma" w:cs="Tahoma"/>
        </w:rPr>
        <w:t xml:space="preserve"> comprometido a proporcionar un </w:t>
      </w:r>
      <w:r w:rsidR="006B2BBB">
        <w:rPr>
          <w:rFonts w:ascii="Tahoma" w:hAnsi="Tahoma" w:cs="Tahoma"/>
        </w:rPr>
        <w:t>ambiente</w:t>
      </w:r>
      <w:r>
        <w:rPr>
          <w:rFonts w:ascii="Tahoma" w:hAnsi="Tahoma" w:cs="Tahoma"/>
        </w:rPr>
        <w:t xml:space="preserve"> de trabajo seguro. Todo el personal tiene la </w:t>
      </w:r>
      <w:r w:rsidR="006B2BBB">
        <w:rPr>
          <w:rFonts w:ascii="Tahoma" w:hAnsi="Tahoma" w:cs="Tahoma"/>
        </w:rPr>
        <w:t>responsabilidad</w:t>
      </w:r>
      <w:r>
        <w:rPr>
          <w:rFonts w:ascii="Tahoma" w:hAnsi="Tahoma" w:cs="Tahoma"/>
        </w:rPr>
        <w:t xml:space="preserve"> de detener el trabajo si existen condiciones inseguras. Bajo NINGUNA  circunstancia deberá haber repercusiones hacia el personal que ejerza la autoridad para detener un trabajo. </w:t>
      </w:r>
    </w:p>
    <w:p w:rsidR="00F83301" w:rsidRDefault="00F83301">
      <w:pPr>
        <w:rPr>
          <w:rFonts w:ascii="Tahoma" w:hAnsi="Tahoma" w:cs="Tahoma"/>
        </w:rPr>
      </w:pPr>
      <w:r>
        <w:rPr>
          <w:rFonts w:ascii="Tahoma" w:hAnsi="Tahoma" w:cs="Tahoma"/>
        </w:rPr>
        <w:t>El uso de la autoridad para detener un trabajo se debe discutir en toda la planeación previa al trabajo y en el análisis de trabajo seguro (ATS).</w:t>
      </w:r>
    </w:p>
    <w:p w:rsidR="00F83301" w:rsidRPr="00F83301" w:rsidRDefault="00F83301" w:rsidP="00F83301">
      <w:pPr>
        <w:rPr>
          <w:rFonts w:ascii="Tahoma" w:hAnsi="Tahoma" w:cs="Tahoma"/>
        </w:rPr>
      </w:pPr>
      <w:r>
        <w:rPr>
          <w:rFonts w:ascii="Tahoma" w:hAnsi="Tahoma" w:cs="Tahoma"/>
        </w:rPr>
        <w:t>Las situaciones que justifican una detención de trabajo, pueden incluir pero no se limitan a ello:</w:t>
      </w:r>
    </w:p>
    <w:p w:rsidR="00F83301" w:rsidRDefault="00F83301" w:rsidP="00F83301">
      <w:pPr>
        <w:pStyle w:val="Prrafodelista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Cambios en las condiciones del medio ambiente</w:t>
      </w:r>
    </w:p>
    <w:p w:rsidR="00F83301" w:rsidRDefault="00F83301" w:rsidP="00F83301">
      <w:pPr>
        <w:pStyle w:val="Prrafodelista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Situación de emergencia</w:t>
      </w:r>
    </w:p>
    <w:p w:rsidR="00F83301" w:rsidRDefault="00F83301" w:rsidP="00F83301">
      <w:pPr>
        <w:pStyle w:val="Prrafodelista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Equipo utilizado indebidamente</w:t>
      </w:r>
    </w:p>
    <w:p w:rsidR="00F83301" w:rsidRDefault="00F83301" w:rsidP="00F83301">
      <w:pPr>
        <w:pStyle w:val="Prrafodelista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Falta de conocimiento</w:t>
      </w:r>
    </w:p>
    <w:p w:rsidR="00F83301" w:rsidRDefault="00F83301" w:rsidP="00F83301">
      <w:pPr>
        <w:pStyle w:val="Prrafodelista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Incidentes </w:t>
      </w:r>
    </w:p>
    <w:p w:rsidR="00F83301" w:rsidRDefault="00F83301" w:rsidP="00F83301">
      <w:pPr>
        <w:pStyle w:val="Prrafodelista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Condiciones inseguras</w:t>
      </w:r>
    </w:p>
    <w:p w:rsidR="00F83301" w:rsidRDefault="00F83301" w:rsidP="00F83301">
      <w:pPr>
        <w:rPr>
          <w:rFonts w:ascii="Tahoma" w:hAnsi="Tahoma" w:cs="Tahoma"/>
        </w:rPr>
      </w:pPr>
      <w:r>
        <w:rPr>
          <w:rFonts w:ascii="Tahoma" w:hAnsi="Tahoma" w:cs="Tahoma"/>
        </w:rPr>
        <w:t>Pasos para aplicar la autoridad de detener un trabajo</w:t>
      </w:r>
    </w:p>
    <w:p w:rsidR="00F83301" w:rsidRDefault="00F83301" w:rsidP="00F83301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Detener</w:t>
      </w:r>
    </w:p>
    <w:p w:rsidR="00F83301" w:rsidRDefault="00F83301" w:rsidP="00F83301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Notificar</w:t>
      </w:r>
    </w:p>
    <w:p w:rsidR="00F83301" w:rsidRDefault="00F83301" w:rsidP="00F83301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Investigar</w:t>
      </w:r>
    </w:p>
    <w:p w:rsidR="00F83301" w:rsidRDefault="00F83301" w:rsidP="00F83301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Corregir</w:t>
      </w:r>
    </w:p>
    <w:p w:rsidR="00F83301" w:rsidRDefault="00F83301" w:rsidP="00F83301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Reanudar</w:t>
      </w:r>
    </w:p>
    <w:p w:rsidR="00F83301" w:rsidRDefault="00F83301" w:rsidP="00F83301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Seguimiento</w:t>
      </w:r>
    </w:p>
    <w:p w:rsidR="00F83301" w:rsidRDefault="00F83301" w:rsidP="00F83301">
      <w:pPr>
        <w:pStyle w:val="Prrafodelista"/>
        <w:rPr>
          <w:rFonts w:ascii="Tahoma" w:hAnsi="Tahoma" w:cs="Tahoma"/>
        </w:rPr>
      </w:pPr>
    </w:p>
    <w:p w:rsidR="00F83301" w:rsidRDefault="00F83301" w:rsidP="00F62CF3">
      <w:pPr>
        <w:pStyle w:val="Prrafodelista"/>
        <w:ind w:hanging="720"/>
        <w:rPr>
          <w:rFonts w:ascii="Tahoma" w:hAnsi="Tahoma" w:cs="Tahoma"/>
          <w:b/>
        </w:rPr>
      </w:pPr>
      <w:r w:rsidRPr="006B2BBB">
        <w:rPr>
          <w:rFonts w:ascii="Tahoma" w:hAnsi="Tahoma" w:cs="Tahoma"/>
          <w:b/>
        </w:rPr>
        <w:t>DETENER</w:t>
      </w:r>
    </w:p>
    <w:p w:rsidR="00B72ADE" w:rsidRPr="006B2BBB" w:rsidRDefault="00B72ADE" w:rsidP="00F62CF3">
      <w:pPr>
        <w:pStyle w:val="Prrafodelista"/>
        <w:ind w:hanging="720"/>
        <w:rPr>
          <w:rFonts w:ascii="Tahoma" w:hAnsi="Tahoma" w:cs="Tahoma"/>
          <w:b/>
        </w:rPr>
      </w:pPr>
      <w:bookmarkStart w:id="0" w:name="_GoBack"/>
      <w:bookmarkEnd w:id="0"/>
    </w:p>
    <w:p w:rsidR="00F83301" w:rsidRDefault="00F83301" w:rsidP="00F83301">
      <w:pPr>
        <w:pStyle w:val="Prrafodelista"/>
        <w:rPr>
          <w:rFonts w:ascii="Tahoma" w:hAnsi="Tahoma" w:cs="Tahoma"/>
        </w:rPr>
      </w:pPr>
      <w:r>
        <w:rPr>
          <w:rFonts w:ascii="Tahoma" w:hAnsi="Tahoma" w:cs="Tahoma"/>
        </w:rPr>
        <w:t xml:space="preserve">Cuando un trabajador indistintamente percibe un acto o condición, que suponen un peligro inminente para las personas, medio ambiente y/o equipos, este debe aplicar </w:t>
      </w:r>
      <w:r w:rsidR="006B2BBB">
        <w:rPr>
          <w:rFonts w:ascii="Tahoma" w:hAnsi="Tahoma" w:cs="Tahoma"/>
        </w:rPr>
        <w:t>una intervención de trabajo a la persona que se encuentra potencialmente expuesta (si la persona, medio ambiente y/o instalaciones no está en peligro inminente se debe coordinar la acción de parada del trabajo a través del supervisor)</w:t>
      </w:r>
    </w:p>
    <w:p w:rsidR="006B2BBB" w:rsidRDefault="006B2BBB" w:rsidP="00F83301">
      <w:pPr>
        <w:pStyle w:val="Prrafodelista"/>
        <w:rPr>
          <w:rFonts w:ascii="Tahoma" w:hAnsi="Tahoma" w:cs="Tahoma"/>
        </w:rPr>
      </w:pPr>
    </w:p>
    <w:p w:rsidR="006B2BBB" w:rsidRPr="00F62CF3" w:rsidRDefault="006B2BBB" w:rsidP="00F62CF3">
      <w:pPr>
        <w:pStyle w:val="Prrafodelista"/>
        <w:ind w:hanging="720"/>
        <w:rPr>
          <w:rFonts w:ascii="Tahoma" w:hAnsi="Tahoma" w:cs="Tahoma"/>
          <w:b/>
        </w:rPr>
      </w:pPr>
      <w:r w:rsidRPr="00F62CF3">
        <w:rPr>
          <w:rFonts w:ascii="Tahoma" w:hAnsi="Tahoma" w:cs="Tahoma"/>
          <w:b/>
        </w:rPr>
        <w:t>NOTIFICAR</w:t>
      </w:r>
    </w:p>
    <w:p w:rsidR="006B2BBB" w:rsidRDefault="006B2BBB" w:rsidP="00F83301">
      <w:pPr>
        <w:pStyle w:val="Prrafodelista"/>
        <w:rPr>
          <w:rFonts w:ascii="Tahoma" w:hAnsi="Tahoma" w:cs="Tahoma"/>
        </w:rPr>
      </w:pPr>
    </w:p>
    <w:p w:rsidR="00F62CF3" w:rsidRDefault="006B2BBB" w:rsidP="00F62CF3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Notifique al personal y supervisión de la acción del trabajo </w:t>
      </w:r>
      <w:r w:rsidR="00F62CF3">
        <w:rPr>
          <w:rFonts w:ascii="Tahoma" w:hAnsi="Tahoma" w:cs="Tahoma"/>
        </w:rPr>
        <w:t>por lo cual ha sido detenida.</w:t>
      </w:r>
    </w:p>
    <w:p w:rsidR="00F62CF3" w:rsidRDefault="00F62CF3" w:rsidP="00F62CF3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De ser necesario, se deberá detener las actividades de trabajo que están asociados con el área de trabajo en cuestión</w:t>
      </w:r>
    </w:p>
    <w:p w:rsidR="00F62CF3" w:rsidRDefault="00F62CF3" w:rsidP="00F62CF3">
      <w:pPr>
        <w:pStyle w:val="Prrafodelista"/>
        <w:rPr>
          <w:rFonts w:ascii="Tahoma" w:hAnsi="Tahoma" w:cs="Tahoma"/>
        </w:rPr>
      </w:pPr>
    </w:p>
    <w:p w:rsidR="00F62CF3" w:rsidRPr="00F62CF3" w:rsidRDefault="00F62CF3" w:rsidP="00F62CF3">
      <w:pPr>
        <w:pStyle w:val="Prrafodelista"/>
        <w:ind w:hanging="720"/>
        <w:rPr>
          <w:rFonts w:ascii="Tahoma" w:hAnsi="Tahoma" w:cs="Tahoma"/>
          <w:b/>
        </w:rPr>
      </w:pPr>
      <w:r w:rsidRPr="00F62CF3">
        <w:rPr>
          <w:rFonts w:ascii="Tahoma" w:hAnsi="Tahoma" w:cs="Tahoma"/>
          <w:b/>
        </w:rPr>
        <w:t>INVESTIGAR</w:t>
      </w:r>
    </w:p>
    <w:p w:rsidR="00F62CF3" w:rsidRPr="00F62CF3" w:rsidRDefault="00F62CF3" w:rsidP="00F62CF3">
      <w:pPr>
        <w:pStyle w:val="Prrafodelista"/>
        <w:rPr>
          <w:rFonts w:ascii="Tahoma" w:hAnsi="Tahoma" w:cs="Tahoma"/>
        </w:rPr>
      </w:pPr>
    </w:p>
    <w:p w:rsidR="006B2BBB" w:rsidRDefault="00F62CF3" w:rsidP="00F62CF3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El personal afectado discutirá la situación y llegara a un acuerdo sobre las medidas para detener el trabajo</w:t>
      </w:r>
    </w:p>
    <w:p w:rsidR="00F62CF3" w:rsidRDefault="00F62CF3" w:rsidP="00F62CF3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La condición o la conducta que constituye una amenaza o peligro inminente  para la persona, medio ambiente y/o equipo debe ser resuelto antes del reinicio del trabajo</w:t>
      </w:r>
    </w:p>
    <w:p w:rsidR="00F62CF3" w:rsidRDefault="00F62CF3" w:rsidP="00F62CF3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El trabajo se suspenderá hasta que se logre una solución </w:t>
      </w:r>
    </w:p>
    <w:p w:rsidR="00F62CF3" w:rsidRDefault="00F62CF3" w:rsidP="00F62CF3">
      <w:pPr>
        <w:pStyle w:val="Prrafodelista"/>
        <w:rPr>
          <w:rFonts w:ascii="Tahoma" w:hAnsi="Tahoma" w:cs="Tahoma"/>
        </w:rPr>
      </w:pPr>
    </w:p>
    <w:p w:rsidR="00F62CF3" w:rsidRDefault="00F62CF3" w:rsidP="00B72ADE">
      <w:pPr>
        <w:pStyle w:val="Prrafodelista"/>
        <w:ind w:hanging="720"/>
        <w:rPr>
          <w:rFonts w:ascii="Tahoma" w:hAnsi="Tahoma" w:cs="Tahoma"/>
          <w:b/>
        </w:rPr>
      </w:pPr>
      <w:r w:rsidRPr="00B72ADE">
        <w:rPr>
          <w:rFonts w:ascii="Tahoma" w:hAnsi="Tahoma" w:cs="Tahoma"/>
          <w:b/>
        </w:rPr>
        <w:t>CORREGIR</w:t>
      </w:r>
    </w:p>
    <w:p w:rsidR="00B72ADE" w:rsidRPr="00B72ADE" w:rsidRDefault="00B72ADE" w:rsidP="00B72ADE">
      <w:pPr>
        <w:pStyle w:val="Prrafodelista"/>
        <w:ind w:hanging="720"/>
        <w:rPr>
          <w:rFonts w:ascii="Tahoma" w:hAnsi="Tahoma" w:cs="Tahoma"/>
          <w:b/>
        </w:rPr>
      </w:pPr>
    </w:p>
    <w:p w:rsidR="00F62CF3" w:rsidRDefault="00F62CF3" w:rsidP="00F62CF3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Las modificaciones de la actividad afectada se harán de acuerdo a las correcciones señaladas y acordadas</w:t>
      </w:r>
    </w:p>
    <w:p w:rsidR="00F62CF3" w:rsidRDefault="00F62CF3" w:rsidP="00F62CF3">
      <w:pPr>
        <w:pStyle w:val="Prrafodelista"/>
        <w:numPr>
          <w:ilvl w:val="0"/>
          <w:numId w:val="2"/>
        </w:numPr>
        <w:rPr>
          <w:rFonts w:ascii="Tahoma" w:hAnsi="Tahoma" w:cs="Tahoma"/>
        </w:rPr>
      </w:pPr>
      <w:r>
        <w:rPr>
          <w:rFonts w:ascii="Tahoma" w:hAnsi="Tahoma" w:cs="Tahoma"/>
        </w:rPr>
        <w:t>Se realizara una charla de seguridad para discutir los cambios en los análisis de riesgos en el trabajo</w:t>
      </w:r>
    </w:p>
    <w:p w:rsidR="00F62CF3" w:rsidRDefault="00F62CF3" w:rsidP="00F62CF3">
      <w:pPr>
        <w:rPr>
          <w:rFonts w:ascii="Tahoma" w:hAnsi="Tahoma" w:cs="Tahoma"/>
          <w:b/>
        </w:rPr>
      </w:pPr>
      <w:r w:rsidRPr="00F62CF3">
        <w:rPr>
          <w:rFonts w:ascii="Tahoma" w:hAnsi="Tahoma" w:cs="Tahoma"/>
          <w:b/>
        </w:rPr>
        <w:t>REANUDAR</w:t>
      </w:r>
    </w:p>
    <w:p w:rsidR="00F62CF3" w:rsidRDefault="00F62CF3" w:rsidP="00F62CF3">
      <w:pPr>
        <w:pStyle w:val="Prrafodelista"/>
        <w:numPr>
          <w:ilvl w:val="0"/>
          <w:numId w:val="3"/>
        </w:numPr>
        <w:rPr>
          <w:rFonts w:ascii="Tahoma" w:hAnsi="Tahoma" w:cs="Tahoma"/>
        </w:rPr>
      </w:pPr>
      <w:r w:rsidRPr="00F62CF3">
        <w:rPr>
          <w:rFonts w:ascii="Tahoma" w:hAnsi="Tahoma" w:cs="Tahoma"/>
        </w:rPr>
        <w:t xml:space="preserve">El área afectada </w:t>
      </w:r>
      <w:r>
        <w:rPr>
          <w:rFonts w:ascii="Tahoma" w:hAnsi="Tahoma" w:cs="Tahoma"/>
        </w:rPr>
        <w:t>se volverá a abrir para el trabajo por parte del personal con autoridad de reinicio</w:t>
      </w:r>
    </w:p>
    <w:p w:rsidR="00F62CF3" w:rsidRDefault="00F62CF3" w:rsidP="00F62CF3">
      <w:pPr>
        <w:pStyle w:val="Prrafodelista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Todos los trabajadores afectados serán notificados de las modificaciones que se llevaron a cabo, las acciones correctivas </w:t>
      </w:r>
      <w:r w:rsidR="00124DF1">
        <w:rPr>
          <w:rFonts w:ascii="Tahoma" w:hAnsi="Tahoma" w:cs="Tahoma"/>
        </w:rPr>
        <w:t xml:space="preserve">y que el trabajo se reanudara </w:t>
      </w:r>
    </w:p>
    <w:p w:rsidR="00124DF1" w:rsidRDefault="00124DF1" w:rsidP="00124DF1">
      <w:pPr>
        <w:pStyle w:val="Prrafodelista"/>
        <w:rPr>
          <w:rFonts w:ascii="Tahoma" w:hAnsi="Tahoma" w:cs="Tahoma"/>
        </w:rPr>
      </w:pPr>
    </w:p>
    <w:p w:rsidR="00124DF1" w:rsidRDefault="00124DF1" w:rsidP="00124DF1">
      <w:pPr>
        <w:pStyle w:val="Prrafodelista"/>
        <w:ind w:hanging="720"/>
        <w:rPr>
          <w:rFonts w:ascii="Tahoma" w:hAnsi="Tahoma" w:cs="Tahoma"/>
          <w:b/>
        </w:rPr>
      </w:pPr>
      <w:r w:rsidRPr="00124DF1">
        <w:rPr>
          <w:rFonts w:ascii="Tahoma" w:hAnsi="Tahoma" w:cs="Tahoma"/>
          <w:b/>
        </w:rPr>
        <w:t>SEGUIMIENTO</w:t>
      </w:r>
    </w:p>
    <w:p w:rsidR="00124DF1" w:rsidRDefault="00124DF1" w:rsidP="00124DF1">
      <w:pPr>
        <w:pStyle w:val="Prrafodelista"/>
        <w:ind w:hanging="720"/>
        <w:rPr>
          <w:rFonts w:ascii="Tahoma" w:hAnsi="Tahoma" w:cs="Tahoma"/>
          <w:b/>
        </w:rPr>
      </w:pPr>
    </w:p>
    <w:p w:rsidR="00124DF1" w:rsidRDefault="00124DF1" w:rsidP="00124DF1">
      <w:pPr>
        <w:pStyle w:val="Prrafodelista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La gerencia de sector liderara el análisis de causa raíz de la autoridad para detener el trabajo e identificara las oportunidades de mejora</w:t>
      </w:r>
    </w:p>
    <w:p w:rsidR="00124DF1" w:rsidRDefault="00124DF1" w:rsidP="00124DF1">
      <w:pPr>
        <w:pStyle w:val="Prrafodelista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SMA publicara, los detalles de la autoridad para detener tareas, con el fin de que todos los trabajadores tengan conocimiento del tema, acción correctiva y lecciones aprendidas</w:t>
      </w:r>
    </w:p>
    <w:p w:rsidR="00124DF1" w:rsidRDefault="00124DF1" w:rsidP="00124DF1">
      <w:pPr>
        <w:pStyle w:val="Prrafodelista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La gerencia de sector revisara todos los documentos (ATS-reporte diario) con el fin de identificar cualquier investigación que requiera seguimiento</w:t>
      </w:r>
    </w:p>
    <w:p w:rsidR="00124DF1" w:rsidRDefault="00124DF1" w:rsidP="00124DF1">
      <w:pPr>
        <w:pStyle w:val="Prrafodelista"/>
        <w:rPr>
          <w:rFonts w:ascii="Tahoma" w:hAnsi="Tahoma" w:cs="Tahoma"/>
        </w:rPr>
      </w:pPr>
    </w:p>
    <w:p w:rsidR="00124DF1" w:rsidRPr="00124DF1" w:rsidRDefault="00124DF1" w:rsidP="00124DF1">
      <w:pPr>
        <w:pStyle w:val="Prrafodelista"/>
        <w:ind w:hanging="720"/>
        <w:rPr>
          <w:rFonts w:ascii="Tahoma" w:hAnsi="Tahoma" w:cs="Tahoma"/>
          <w:b/>
        </w:rPr>
      </w:pPr>
      <w:r w:rsidRPr="00124DF1">
        <w:rPr>
          <w:rFonts w:ascii="Tahoma" w:hAnsi="Tahoma" w:cs="Tahoma"/>
          <w:b/>
        </w:rPr>
        <w:t>SE DEBE RECORDAR QUE:</w:t>
      </w:r>
    </w:p>
    <w:p w:rsidR="00124DF1" w:rsidRDefault="00124DF1" w:rsidP="00124DF1">
      <w:pPr>
        <w:pStyle w:val="Prrafodelista"/>
        <w:ind w:hanging="720"/>
        <w:rPr>
          <w:rFonts w:ascii="Tahoma" w:hAnsi="Tahoma" w:cs="Tahoma"/>
          <w:b/>
        </w:rPr>
      </w:pPr>
    </w:p>
    <w:p w:rsidR="00124DF1" w:rsidRDefault="00124DF1" w:rsidP="00124DF1">
      <w:pPr>
        <w:pStyle w:val="Prrafodelista"/>
        <w:ind w:left="0" w:hanging="11"/>
        <w:rPr>
          <w:rFonts w:ascii="Tahoma" w:hAnsi="Tahoma" w:cs="Tahoma"/>
        </w:rPr>
      </w:pPr>
      <w:r>
        <w:rPr>
          <w:rFonts w:ascii="Tahoma" w:hAnsi="Tahoma" w:cs="Tahoma"/>
        </w:rPr>
        <w:t xml:space="preserve">Todo trabajador tiene la autoridad y es su responsabilidad de detener cualquier tarea que se realice en forma insegura y que pueda ocasionar un evento no deseado para </w:t>
      </w:r>
      <w:r>
        <w:rPr>
          <w:rFonts w:ascii="Tahoma" w:hAnsi="Tahoma" w:cs="Tahoma"/>
        </w:rPr>
        <w:lastRenderedPageBreak/>
        <w:t>usted, el ambiente o las instalaciones, sin que esto pueda implicar acción alguna en su contra.</w:t>
      </w:r>
    </w:p>
    <w:p w:rsidR="00124DF1" w:rsidRDefault="00124DF1" w:rsidP="00124DF1">
      <w:pPr>
        <w:pStyle w:val="Prrafodelista"/>
        <w:ind w:left="0" w:hanging="11"/>
        <w:rPr>
          <w:rFonts w:ascii="Tahoma" w:hAnsi="Tahoma" w:cs="Tahoma"/>
        </w:rPr>
      </w:pPr>
    </w:p>
    <w:p w:rsidR="00124DF1" w:rsidRDefault="00124DF1" w:rsidP="00124DF1">
      <w:pPr>
        <w:pStyle w:val="Prrafodelista"/>
        <w:ind w:left="0" w:hanging="11"/>
        <w:rPr>
          <w:rFonts w:ascii="Tahoma" w:hAnsi="Tahoma" w:cs="Tahoma"/>
          <w:b/>
        </w:rPr>
      </w:pPr>
      <w:r w:rsidRPr="00124DF1">
        <w:rPr>
          <w:rFonts w:ascii="Tahoma" w:hAnsi="Tahoma" w:cs="Tahoma"/>
          <w:b/>
        </w:rPr>
        <w:t xml:space="preserve">IMPORTANTE </w:t>
      </w:r>
    </w:p>
    <w:p w:rsidR="00124DF1" w:rsidRDefault="00124DF1" w:rsidP="00124DF1">
      <w:pPr>
        <w:pStyle w:val="Prrafodelista"/>
        <w:ind w:left="0" w:hanging="11"/>
        <w:rPr>
          <w:rFonts w:ascii="Tahoma" w:hAnsi="Tahoma" w:cs="Tahoma"/>
          <w:b/>
        </w:rPr>
      </w:pPr>
    </w:p>
    <w:p w:rsidR="00124DF1" w:rsidRPr="00124DF1" w:rsidRDefault="00124DF1" w:rsidP="00124DF1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124DF1">
        <w:rPr>
          <w:rFonts w:ascii="Tahoma" w:hAnsi="Tahoma" w:cs="Tahoma"/>
        </w:rPr>
        <w:t>Es de suma importancia que la política de autoridad para detener un trabajo sea claramente entendida por el personal</w:t>
      </w:r>
    </w:p>
    <w:p w:rsidR="00124DF1" w:rsidRPr="00124DF1" w:rsidRDefault="00124DF1" w:rsidP="00124DF1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124DF1">
        <w:rPr>
          <w:rFonts w:ascii="Tahoma" w:hAnsi="Tahoma" w:cs="Tahoma"/>
        </w:rPr>
        <w:t>El análisis y seguimiento de ocurrencias ayuda con la evaluación de la efectividad del programa e identifica áreas de mejora</w:t>
      </w:r>
    </w:p>
    <w:p w:rsidR="00124DF1" w:rsidRPr="00124DF1" w:rsidRDefault="00124DF1" w:rsidP="00124DF1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124DF1">
        <w:rPr>
          <w:rFonts w:ascii="Tahoma" w:hAnsi="Tahoma" w:cs="Tahoma"/>
        </w:rPr>
        <w:t>Es importante dejar en claro que una acción para detener  un trabajo de buena fe, no remitirá ningún castigo</w:t>
      </w:r>
    </w:p>
    <w:p w:rsidR="00124DF1" w:rsidRPr="00124DF1" w:rsidRDefault="00124DF1" w:rsidP="00124DF1">
      <w:pPr>
        <w:pStyle w:val="Prrafodelista"/>
        <w:numPr>
          <w:ilvl w:val="0"/>
          <w:numId w:val="4"/>
        </w:numPr>
        <w:rPr>
          <w:rFonts w:ascii="Tahoma" w:hAnsi="Tahoma" w:cs="Tahoma"/>
        </w:rPr>
      </w:pPr>
      <w:r w:rsidRPr="00124DF1">
        <w:rPr>
          <w:rFonts w:ascii="Tahoma" w:hAnsi="Tahoma" w:cs="Tahoma"/>
        </w:rPr>
        <w:t>Garantizar el apoyo al trabajador para que pueda realizar paradas de trabajo</w:t>
      </w:r>
    </w:p>
    <w:p w:rsidR="00124DF1" w:rsidRDefault="00124DF1" w:rsidP="00124DF1">
      <w:pPr>
        <w:pStyle w:val="Prrafodelista"/>
        <w:ind w:left="0" w:hanging="11"/>
        <w:rPr>
          <w:rFonts w:ascii="Tahoma" w:hAnsi="Tahoma" w:cs="Tahoma"/>
        </w:rPr>
      </w:pPr>
    </w:p>
    <w:p w:rsidR="00124DF1" w:rsidRPr="00124DF1" w:rsidRDefault="00124DF1" w:rsidP="00124DF1">
      <w:pPr>
        <w:pStyle w:val="Prrafodelista"/>
        <w:ind w:left="0" w:hanging="11"/>
        <w:rPr>
          <w:rFonts w:ascii="Tahoma" w:hAnsi="Tahoma" w:cs="Tahoma"/>
        </w:rPr>
      </w:pPr>
    </w:p>
    <w:p w:rsidR="00F62CF3" w:rsidRPr="00F62CF3" w:rsidRDefault="00F62CF3" w:rsidP="00F62CF3">
      <w:pPr>
        <w:rPr>
          <w:rFonts w:ascii="Tahoma" w:hAnsi="Tahoma" w:cs="Tahoma"/>
        </w:rPr>
      </w:pPr>
    </w:p>
    <w:p w:rsidR="00F62CF3" w:rsidRPr="00F83301" w:rsidRDefault="00F62CF3" w:rsidP="00F83301">
      <w:pPr>
        <w:pStyle w:val="Prrafodelista"/>
        <w:rPr>
          <w:rFonts w:ascii="Tahoma" w:hAnsi="Tahoma" w:cs="Tahoma"/>
        </w:rPr>
      </w:pPr>
    </w:p>
    <w:sectPr w:rsidR="00F62CF3" w:rsidRPr="00F8330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C8B" w:rsidRDefault="00432C8B" w:rsidP="00B72ADE">
      <w:pPr>
        <w:spacing w:after="0" w:line="240" w:lineRule="auto"/>
      </w:pPr>
      <w:r>
        <w:separator/>
      </w:r>
    </w:p>
  </w:endnote>
  <w:endnote w:type="continuationSeparator" w:id="0">
    <w:p w:rsidR="00432C8B" w:rsidRDefault="00432C8B" w:rsidP="00B72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10 Pitch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C8B" w:rsidRDefault="00432C8B" w:rsidP="00B72ADE">
      <w:pPr>
        <w:spacing w:after="0" w:line="240" w:lineRule="auto"/>
      </w:pPr>
      <w:r>
        <w:separator/>
      </w:r>
    </w:p>
  </w:footnote>
  <w:footnote w:type="continuationSeparator" w:id="0">
    <w:p w:rsidR="00432C8B" w:rsidRDefault="00432C8B" w:rsidP="00B72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8" w:type="dxa"/>
      <w:jc w:val="center"/>
      <w:tblInd w:w="-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80"/>
      <w:gridCol w:w="5418"/>
      <w:gridCol w:w="2410"/>
    </w:tblGrid>
    <w:tr w:rsidR="00B72ADE" w:rsidRPr="00B72ADE" w:rsidTr="003B274D">
      <w:tblPrEx>
        <w:tblCellMar>
          <w:top w:w="0" w:type="dxa"/>
          <w:bottom w:w="0" w:type="dxa"/>
        </w:tblCellMar>
      </w:tblPrEx>
      <w:trPr>
        <w:cantSplit/>
        <w:trHeight w:val="955"/>
        <w:jc w:val="center"/>
      </w:trPr>
      <w:tc>
        <w:tcPr>
          <w:tcW w:w="2880" w:type="dxa"/>
          <w:vAlign w:val="center"/>
        </w:tcPr>
        <w:p w:rsidR="00B72ADE" w:rsidRPr="00B72ADE" w:rsidRDefault="00B72ADE" w:rsidP="00B72ADE">
          <w:pPr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rPr>
              <w:rFonts w:ascii="Arial" w:eastAsia="Times New Roman" w:hAnsi="Arial" w:cs="Arial"/>
              <w:sz w:val="20"/>
              <w:szCs w:val="20"/>
              <w:lang w:eastAsia="es-ES"/>
            </w:rPr>
          </w:pPr>
          <w:r>
            <w:rPr>
              <w:rFonts w:ascii="Arial" w:eastAsia="Times New Roman" w:hAnsi="Arial" w:cs="Arial"/>
              <w:noProof/>
              <w:sz w:val="20"/>
              <w:szCs w:val="20"/>
              <w:lang w:val="es-AR" w:eastAsia="es-AR"/>
            </w:rPr>
            <w:drawing>
              <wp:inline distT="0" distB="0" distL="0" distR="0">
                <wp:extent cx="1192530" cy="882650"/>
                <wp:effectExtent l="0" t="0" r="7620" b="0"/>
                <wp:docPr id="1" name="Imagen 1" descr="Logo G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53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8" w:type="dxa"/>
          <w:tcBorders>
            <w:bottom w:val="single" w:sz="4" w:space="0" w:color="auto"/>
          </w:tcBorders>
          <w:vAlign w:val="center"/>
        </w:tcPr>
        <w:p w:rsidR="00B72ADE" w:rsidRPr="00B72ADE" w:rsidRDefault="00B72ADE" w:rsidP="00B72ADE">
          <w:pPr>
            <w:keepNext/>
            <w:spacing w:before="240" w:after="60" w:line="240" w:lineRule="auto"/>
            <w:jc w:val="center"/>
            <w:outlineLvl w:val="0"/>
            <w:rPr>
              <w:rFonts w:ascii="Arial" w:eastAsia="Times New Roman" w:hAnsi="Arial" w:cs="Arial"/>
              <w:color w:val="000000"/>
              <w:kern w:val="32"/>
              <w:sz w:val="40"/>
              <w:szCs w:val="40"/>
              <w:lang w:eastAsia="es-ES"/>
            </w:rPr>
          </w:pPr>
          <w:r w:rsidRPr="00B72ADE">
            <w:rPr>
              <w:rFonts w:ascii="Arial" w:eastAsia="Times New Roman" w:hAnsi="Arial" w:cs="Arial"/>
              <w:color w:val="000000"/>
              <w:kern w:val="32"/>
              <w:sz w:val="32"/>
              <w:szCs w:val="40"/>
              <w:lang w:eastAsia="es-ES"/>
            </w:rPr>
            <w:t>AUTORIDAD PARA DETENER UN TRABAJO</w:t>
          </w:r>
        </w:p>
      </w:tc>
      <w:tc>
        <w:tcPr>
          <w:tcW w:w="2410" w:type="dxa"/>
          <w:tcBorders>
            <w:bottom w:val="single" w:sz="4" w:space="0" w:color="auto"/>
          </w:tcBorders>
        </w:tcPr>
        <w:p w:rsidR="00B72ADE" w:rsidRPr="00B72ADE" w:rsidRDefault="00B72ADE" w:rsidP="00B72ADE">
          <w:pPr>
            <w:keepNext/>
            <w:spacing w:before="240" w:after="60" w:line="240" w:lineRule="auto"/>
            <w:outlineLvl w:val="0"/>
            <w:rPr>
              <w:rFonts w:ascii="Arial" w:eastAsia="Times New Roman" w:hAnsi="Arial" w:cs="Arial"/>
              <w:b/>
              <w:bCs/>
              <w:color w:val="808080"/>
              <w:kern w:val="32"/>
              <w:sz w:val="20"/>
              <w:szCs w:val="20"/>
              <w:lang w:eastAsia="es-ES"/>
            </w:rPr>
          </w:pPr>
          <w:r w:rsidRPr="00B72ADE">
            <w:rPr>
              <w:rFonts w:ascii="Arial" w:eastAsia="Times New Roman" w:hAnsi="Arial" w:cs="Arial"/>
              <w:b/>
              <w:bCs/>
              <w:color w:val="808080"/>
              <w:kern w:val="32"/>
              <w:sz w:val="20"/>
              <w:szCs w:val="20"/>
              <w:lang w:eastAsia="es-ES"/>
            </w:rPr>
            <w:t xml:space="preserve">Código: </w:t>
          </w:r>
          <w:r>
            <w:rPr>
              <w:rFonts w:ascii="Arial" w:eastAsia="Times New Roman" w:hAnsi="Arial" w:cs="Arial"/>
              <w:color w:val="808080"/>
              <w:kern w:val="32"/>
              <w:sz w:val="20"/>
              <w:szCs w:val="20"/>
              <w:lang w:eastAsia="es-ES"/>
            </w:rPr>
            <w:t>SMA-POL-001</w:t>
          </w:r>
        </w:p>
        <w:p w:rsidR="00B72ADE" w:rsidRPr="00B72ADE" w:rsidRDefault="00B72ADE" w:rsidP="00B72ADE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Arial"/>
              <w:b/>
              <w:color w:val="808080"/>
              <w:sz w:val="20"/>
              <w:szCs w:val="20"/>
              <w:lang w:eastAsia="es-ES"/>
            </w:rPr>
          </w:pPr>
        </w:p>
        <w:p w:rsidR="00B72ADE" w:rsidRPr="00B72ADE" w:rsidRDefault="00B72ADE" w:rsidP="00B72ADE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Arial"/>
              <w:color w:val="808080"/>
              <w:sz w:val="20"/>
              <w:szCs w:val="20"/>
              <w:lang w:eastAsia="es-ES"/>
            </w:rPr>
          </w:pPr>
          <w:r w:rsidRPr="00B72ADE">
            <w:rPr>
              <w:rFonts w:ascii="Arial" w:eastAsia="Times New Roman" w:hAnsi="Arial" w:cs="Arial"/>
              <w:b/>
              <w:color w:val="808080"/>
              <w:sz w:val="20"/>
              <w:szCs w:val="20"/>
              <w:lang w:eastAsia="es-ES"/>
            </w:rPr>
            <w:t>Versión Nº</w:t>
          </w:r>
          <w:r>
            <w:rPr>
              <w:rFonts w:ascii="Arial" w:eastAsia="Times New Roman" w:hAnsi="Arial" w:cs="Arial"/>
              <w:color w:val="808080"/>
              <w:sz w:val="20"/>
              <w:szCs w:val="20"/>
              <w:lang w:eastAsia="es-ES"/>
            </w:rPr>
            <w:t xml:space="preserve"> 00</w:t>
          </w:r>
        </w:p>
        <w:p w:rsidR="00B72ADE" w:rsidRPr="00B72ADE" w:rsidRDefault="00B72ADE" w:rsidP="00B72ADE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eastAsia="Times New Roman" w:hAnsi="Arial" w:cs="Arial"/>
              <w:color w:val="808080"/>
              <w:sz w:val="20"/>
              <w:szCs w:val="20"/>
              <w:lang w:eastAsia="es-ES"/>
            </w:rPr>
          </w:pPr>
        </w:p>
        <w:p w:rsidR="00B72ADE" w:rsidRPr="00B72ADE" w:rsidRDefault="00B72ADE" w:rsidP="00B72ADE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Courier 10 Pitch" w:eastAsia="Times New Roman" w:hAnsi="Courier 10 Pitch" w:cs="Times New Roman"/>
              <w:sz w:val="20"/>
              <w:szCs w:val="20"/>
              <w:lang w:eastAsia="es-ES"/>
            </w:rPr>
          </w:pPr>
          <w:r w:rsidRPr="00B72ADE">
            <w:rPr>
              <w:rFonts w:ascii="Arial" w:eastAsia="Times New Roman" w:hAnsi="Arial" w:cs="Arial"/>
              <w:b/>
              <w:color w:val="808080"/>
              <w:sz w:val="20"/>
              <w:szCs w:val="20"/>
              <w:lang w:eastAsia="es-ES"/>
            </w:rPr>
            <w:t>Fecha Vigencia:</w:t>
          </w:r>
          <w:r w:rsidRPr="00B72ADE">
            <w:rPr>
              <w:rFonts w:ascii="Arial" w:eastAsia="Times New Roman" w:hAnsi="Arial" w:cs="Arial"/>
              <w:color w:val="808080"/>
              <w:sz w:val="20"/>
              <w:szCs w:val="20"/>
              <w:lang w:eastAsia="es-ES"/>
            </w:rPr>
            <w:t xml:space="preserve"> </w:t>
          </w:r>
          <w:r>
            <w:rPr>
              <w:rFonts w:ascii="Arial" w:eastAsia="Times New Roman" w:hAnsi="Arial" w:cs="Arial"/>
              <w:color w:val="808080"/>
              <w:sz w:val="20"/>
              <w:szCs w:val="20"/>
              <w:lang w:eastAsia="es-ES"/>
            </w:rPr>
            <w:t>03-03-2018</w:t>
          </w:r>
        </w:p>
      </w:tc>
    </w:tr>
  </w:tbl>
  <w:p w:rsidR="00B72ADE" w:rsidRDefault="00B72AD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06CD9"/>
    <w:multiLevelType w:val="hybridMultilevel"/>
    <w:tmpl w:val="0A329E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7C4727"/>
    <w:multiLevelType w:val="hybridMultilevel"/>
    <w:tmpl w:val="7652C8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045130"/>
    <w:multiLevelType w:val="hybridMultilevel"/>
    <w:tmpl w:val="3C6C8E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8E6485"/>
    <w:multiLevelType w:val="hybridMultilevel"/>
    <w:tmpl w:val="2AB61708"/>
    <w:lvl w:ilvl="0" w:tplc="2C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301"/>
    <w:rsid w:val="00124DF1"/>
    <w:rsid w:val="00432C8B"/>
    <w:rsid w:val="006B2BBB"/>
    <w:rsid w:val="007E2DC6"/>
    <w:rsid w:val="00B72ADE"/>
    <w:rsid w:val="00F62CF3"/>
    <w:rsid w:val="00F8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330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72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2ADE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72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2ADE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2ADE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330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72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2ADE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72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2ADE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2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2ADE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</dc:creator>
  <cp:lastModifiedBy>Constanza</cp:lastModifiedBy>
  <cp:revision>2</cp:revision>
  <dcterms:created xsi:type="dcterms:W3CDTF">2020-03-17T13:14:00Z</dcterms:created>
  <dcterms:modified xsi:type="dcterms:W3CDTF">2020-03-17T13:14:00Z</dcterms:modified>
</cp:coreProperties>
</file>